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文件编号：QP-013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 共 6 页</w:t>
      </w:r>
    </w:p>
    <w:p/>
    <w:p>
      <w:pPr>
        <w:pStyle w:val="Title"/>
        <w:jc w:val="center"/>
      </w:pPr>
      <w:r>
        <w:t>仓储管理控制程序</w:t>
      </w:r>
    </w:p>
    <w:p/>
    <w:p>
      <w:pPr>
        <w:pStyle w:val="Heading1"/>
      </w:pPr>
      <w:r>
        <w:t>1. 目的</w:t>
      </w:r>
    </w:p>
    <w:p>
      <w:r>
        <w:t>为对仓库物资的收发存进行管理，确保物资标识清晰、贮存安全、账物相符，特制定本程序。</w:t>
      </w:r>
    </w:p>
    <w:p>
      <w:pPr>
        <w:pStyle w:val="Heading1"/>
      </w:pPr>
      <w:r>
        <w:t>2. 范围</w:t>
      </w:r>
    </w:p>
    <w:p>
      <w:r>
        <w:t>本程序适用于公司内所有原材料、半成品、成品的入库、贮存、出库管理。</w:t>
      </w:r>
    </w:p>
    <w:p>
      <w:pPr>
        <w:pStyle w:val="Heading1"/>
      </w:pPr>
      <w:r>
        <w:t>3. 术语和定义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术语</w:t>
            </w:r>
          </w:p>
        </w:tc>
        <w:tc>
          <w:tcPr>
            <w:tcW w:type="dxa" w:w="4153"/>
          </w:tcPr>
          <w:p>
            <w:r>
              <w:t>定义</w:t>
            </w:r>
          </w:p>
        </w:tc>
      </w:tr>
      <w:tr>
        <w:tc>
          <w:tcPr>
            <w:tcW w:type="dxa" w:w="4153"/>
          </w:tcPr>
          <w:p>
            <w:r>
              <w:t>先进先出</w:t>
            </w:r>
          </w:p>
        </w:tc>
        <w:tc>
          <w:tcPr>
            <w:tcW w:type="dxa" w:w="4153"/>
          </w:tcPr>
          <w:p>
            <w:r>
              <w:t>先入库的物资先出库</w:t>
            </w:r>
          </w:p>
        </w:tc>
      </w:tr>
      <w:tr>
        <w:tc>
          <w:tcPr>
            <w:tcW w:type="dxa" w:w="4153"/>
          </w:tcPr>
          <w:p>
            <w:r>
              <w:t>安全库存</w:t>
            </w:r>
          </w:p>
        </w:tc>
        <w:tc>
          <w:tcPr>
            <w:tcW w:type="dxa" w:w="4153"/>
          </w:tcPr>
          <w:p>
            <w:r>
              <w:t>为保证生产连续性而设置的最低库存量</w:t>
            </w:r>
          </w:p>
        </w:tc>
      </w:tr>
    </w:tbl>
    <w:p/>
    <w:p>
      <w:pPr>
        <w:pStyle w:val="Heading1"/>
      </w:pPr>
      <w:r>
        <w:t>4. 职责</w:t>
      </w:r>
    </w:p>
    <w:p>
      <w:pPr>
        <w:pStyle w:val="Heading2"/>
      </w:pPr>
      <w:r>
        <w:t>4.1 仓库</w:t>
      </w:r>
    </w:p>
    <w:p>
      <w:pPr>
        <w:pStyle w:val="ListBullet"/>
      </w:pPr>
      <w:r>
        <w:t>归口管理仓储工作</w:t>
      </w:r>
    </w:p>
    <w:p>
      <w:pPr>
        <w:pStyle w:val="ListBullet"/>
      </w:pPr>
      <w:r>
        <w:t>负责物资收发存管理</w:t>
      </w:r>
    </w:p>
    <w:p>
      <w:pPr>
        <w:pStyle w:val="ListBullet"/>
      </w:pPr>
      <w:r>
        <w:t>维护仓库台账</w:t>
      </w:r>
    </w:p>
    <w:p>
      <w:pPr>
        <w:pStyle w:val="Heading2"/>
      </w:pPr>
      <w:r>
        <w:t>4.2 采购部</w:t>
      </w:r>
    </w:p>
    <w:p>
      <w:pPr>
        <w:pStyle w:val="ListBullet"/>
      </w:pPr>
      <w:r>
        <w:t>负责采购物资到货通知</w:t>
      </w:r>
    </w:p>
    <w:p>
      <w:pPr>
        <w:pStyle w:val="Heading2"/>
      </w:pPr>
      <w:r>
        <w:t>4.3 质量部</w:t>
      </w:r>
    </w:p>
    <w:p>
      <w:pPr>
        <w:pStyle w:val="ListBullet"/>
      </w:pPr>
      <w:r>
        <w:t>负责进货检验</w:t>
      </w:r>
    </w:p>
    <w:p>
      <w:pPr>
        <w:pStyle w:val="Heading2"/>
      </w:pPr>
      <w:r>
        <w:t>4.4 生产部</w:t>
      </w:r>
    </w:p>
    <w:p>
      <w:pPr>
        <w:pStyle w:val="ListBullet"/>
      </w:pPr>
      <w:r>
        <w:t>负责领料和成品入库</w:t>
      </w:r>
    </w:p>
    <w:p/>
    <w:p>
      <w:pPr>
        <w:pStyle w:val="Heading1"/>
      </w:pPr>
      <w:r>
        <w:t>5. 工作程序</w:t>
      </w:r>
    </w:p>
    <w:p>
      <w:pPr>
        <w:pStyle w:val="Heading2"/>
      </w:pPr>
      <w:r>
        <w:t>5.1 入库管理</w:t>
      </w:r>
    </w:p>
    <w:p>
      <w:pPr>
        <w:pStyle w:val="Heading3"/>
      </w:pPr>
      <w:r>
        <w:t>5.1.1 原材料入库</w:t>
      </w:r>
    </w:p>
    <w:p>
      <w:pPr>
        <w:pStyle w:val="ListBullet"/>
      </w:pPr>
      <w:r>
        <w:t>核对送货单与采购订单</w:t>
      </w:r>
    </w:p>
    <w:p>
      <w:pPr>
        <w:pStyle w:val="ListBullet"/>
      </w:pPr>
      <w:r>
        <w:t>通知质量部检验</w:t>
      </w:r>
    </w:p>
    <w:p>
      <w:pPr>
        <w:pStyle w:val="ListBullet"/>
      </w:pPr>
      <w:r>
        <w:t>检验合格后办理入库</w:t>
      </w:r>
    </w:p>
    <w:p>
      <w:pPr>
        <w:pStyle w:val="ListBullet"/>
      </w:pPr>
      <w:r>
        <w:t>填写《入库单》（FM-060）</w:t>
      </w:r>
    </w:p>
    <w:p>
      <w:pPr>
        <w:pStyle w:val="Heading3"/>
      </w:pPr>
      <w:r>
        <w:t>5.1.2 成品入库</w:t>
      </w:r>
    </w:p>
    <w:p>
      <w:pPr>
        <w:pStyle w:val="ListBullet"/>
      </w:pPr>
      <w:r>
        <w:t>核对生产交接单</w:t>
      </w:r>
    </w:p>
    <w:p>
      <w:pPr>
        <w:pStyle w:val="ListBullet"/>
      </w:pPr>
      <w:r>
        <w:t>确认检验合格标识</w:t>
      </w:r>
    </w:p>
    <w:p>
      <w:pPr>
        <w:pStyle w:val="ListBullet"/>
      </w:pPr>
      <w:r>
        <w:t>办理入库手续</w:t>
      </w:r>
    </w:p>
    <w:p>
      <w:pPr>
        <w:pStyle w:val="Heading2"/>
      </w:pPr>
      <w:r>
        <w:t>5.2 贮存管理</w:t>
      </w:r>
    </w:p>
    <w:p>
      <w:pPr>
        <w:pStyle w:val="Heading3"/>
      </w:pPr>
      <w:r>
        <w:t>5.2.1 分区存放</w:t>
      </w:r>
    </w:p>
    <w:p>
      <w:pPr>
        <w:pStyle w:val="ListBullet"/>
      </w:pPr>
      <w:r>
        <w:t>原材料区、半成品区、成品区</w:t>
      </w:r>
    </w:p>
    <w:p>
      <w:pPr>
        <w:pStyle w:val="ListBullet"/>
      </w:pPr>
      <w:r>
        <w:t>合格品区、不合格品区、待检区</w:t>
      </w:r>
    </w:p>
    <w:p>
      <w:pPr>
        <w:pStyle w:val="ListBullet"/>
      </w:pPr>
      <w:r>
        <w:t>区域标识清晰</w:t>
      </w:r>
    </w:p>
    <w:p>
      <w:pPr>
        <w:pStyle w:val="Heading3"/>
      </w:pPr>
      <w:r>
        <w:t>5.2.2 标识管理</w:t>
      </w:r>
    </w:p>
    <w:p>
      <w:pPr>
        <w:pStyle w:val="ListBullet"/>
      </w:pPr>
      <w:r>
        <w:t>物资卡片标识名称、规格、批次、数量</w:t>
      </w:r>
    </w:p>
    <w:p>
      <w:pPr>
        <w:pStyle w:val="ListBullet"/>
      </w:pPr>
      <w:r>
        <w:t>状态标识：合格、不合格、待检</w:t>
      </w:r>
    </w:p>
    <w:p>
      <w:pPr>
        <w:pStyle w:val="Heading3"/>
      </w:pPr>
      <w:r>
        <w:t>5.2.3 贮存环境</w:t>
      </w:r>
    </w:p>
    <w:p>
      <w:pPr>
        <w:pStyle w:val="ListBullet"/>
      </w:pPr>
      <w:r>
        <w:t>控制温度、湿度</w:t>
      </w:r>
    </w:p>
    <w:p>
      <w:pPr>
        <w:pStyle w:val="ListBullet"/>
      </w:pPr>
      <w:r>
        <w:t>防火、防潮、防虫</w:t>
      </w:r>
    </w:p>
    <w:p>
      <w:pPr>
        <w:pStyle w:val="ListBullet"/>
      </w:pPr>
      <w:r>
        <w:t>定期检查环境条件</w:t>
      </w:r>
    </w:p>
    <w:p>
      <w:pPr>
        <w:pStyle w:val="Heading3"/>
      </w:pPr>
      <w:r>
        <w:t>5.2.4 先进先出</w:t>
      </w:r>
    </w:p>
    <w:p>
      <w:pPr>
        <w:pStyle w:val="ListBullet"/>
      </w:pPr>
      <w:r>
        <w:t>按入库时间顺序发货</w:t>
      </w:r>
    </w:p>
    <w:p>
      <w:pPr>
        <w:pStyle w:val="ListBullet"/>
      </w:pPr>
      <w:r>
        <w:t>采用颜色标识或批次管理</w:t>
      </w:r>
    </w:p>
    <w:p>
      <w:pPr>
        <w:pStyle w:val="Heading2"/>
      </w:pPr>
      <w:r>
        <w:t>5.3 出库管理</w:t>
      </w:r>
    </w:p>
    <w:p>
      <w:pPr>
        <w:pStyle w:val="Heading3"/>
      </w:pPr>
      <w:r>
        <w:t>5.3.1 生产领料</w:t>
      </w:r>
    </w:p>
    <w:p>
      <w:pPr>
        <w:pStyle w:val="ListBullet"/>
      </w:pPr>
      <w:r>
        <w:t>凭领料单发料</w:t>
      </w:r>
    </w:p>
    <w:p>
      <w:pPr>
        <w:pStyle w:val="ListBullet"/>
      </w:pPr>
      <w:r>
        <w:t>核对物料名称、规格、数量</w:t>
      </w:r>
    </w:p>
    <w:p>
      <w:pPr>
        <w:pStyle w:val="ListBullet"/>
      </w:pPr>
      <w:r>
        <w:t>填写《出库单》（FM-061）</w:t>
      </w:r>
    </w:p>
    <w:p>
      <w:pPr>
        <w:pStyle w:val="Heading3"/>
      </w:pPr>
      <w:r>
        <w:t>5.3.2 成品发货</w:t>
      </w:r>
    </w:p>
    <w:p>
      <w:pPr>
        <w:pStyle w:val="ListBullet"/>
      </w:pPr>
      <w:r>
        <w:t>凭发货通知单发货</w:t>
      </w:r>
    </w:p>
    <w:p>
      <w:pPr>
        <w:pStyle w:val="ListBullet"/>
      </w:pPr>
      <w:r>
        <w:t>核对客户、产品、数量</w:t>
      </w:r>
    </w:p>
    <w:p>
      <w:pPr>
        <w:pStyle w:val="ListBullet"/>
      </w:pPr>
      <w:r>
        <w:t>办理出库手续</w:t>
      </w:r>
    </w:p>
    <w:p>
      <w:pPr>
        <w:pStyle w:val="Heading2"/>
      </w:pPr>
      <w:r>
        <w:t>5.4 库存盘点</w:t>
      </w:r>
    </w:p>
    <w:p>
      <w:pPr>
        <w:pStyle w:val="Heading3"/>
      </w:pPr>
      <w:r>
        <w:t>5.4.1 盘点频次</w:t>
      </w:r>
    </w:p>
    <w:p>
      <w:pPr>
        <w:pStyle w:val="ListBullet"/>
      </w:pPr>
      <w:r>
        <w:t>月度小盘：核对账物</w:t>
      </w:r>
    </w:p>
    <w:p>
      <w:pPr>
        <w:pStyle w:val="ListBullet"/>
      </w:pPr>
      <w:r>
        <w:t>季度中盘：抽查核实</w:t>
      </w:r>
    </w:p>
    <w:p>
      <w:pPr>
        <w:pStyle w:val="ListBullet"/>
      </w:pPr>
      <w:r>
        <w:t>年度大盘：全面清点</w:t>
      </w:r>
    </w:p>
    <w:p>
      <w:pPr>
        <w:pStyle w:val="Heading3"/>
      </w:pPr>
      <w:r>
        <w:t>5.4.2 盘点实施</w:t>
      </w:r>
    </w:p>
    <w:p>
      <w:pPr>
        <w:pStyle w:val="ListBullet"/>
      </w:pPr>
      <w:r>
        <w:t>编制盘点计划</w:t>
      </w:r>
    </w:p>
    <w:p>
      <w:pPr>
        <w:pStyle w:val="ListBullet"/>
      </w:pPr>
      <w:r>
        <w:t>停止出入库作业</w:t>
      </w:r>
    </w:p>
    <w:p>
      <w:pPr>
        <w:pStyle w:val="ListBullet"/>
      </w:pPr>
      <w:r>
        <w:t>填写《库存盘点表》（FM-062）</w:t>
      </w:r>
    </w:p>
    <w:p>
      <w:pPr>
        <w:pStyle w:val="ListBullet"/>
      </w:pPr>
      <w:r>
        <w:t>差异分析和处理</w:t>
      </w:r>
    </w:p>
    <w:p>
      <w:pPr>
        <w:pStyle w:val="Heading2"/>
      </w:pPr>
      <w:r>
        <w:t>5.5 库存控制</w:t>
      </w:r>
    </w:p>
    <w:p>
      <w:pPr>
        <w:pStyle w:val="ListBullet"/>
      </w:pPr>
      <w:r>
        <w:t>设定安全库存量</w:t>
      </w:r>
    </w:p>
    <w:p>
      <w:pPr>
        <w:pStyle w:val="ListBullet"/>
      </w:pPr>
      <w:r>
        <w:t>库存预警：低于安全库存时通知采购</w:t>
      </w:r>
    </w:p>
    <w:p>
      <w:pPr>
        <w:pStyle w:val="ListBullet"/>
      </w:pPr>
      <w:r>
        <w:t>呆滞料处理：定期识别和处置</w:t>
      </w:r>
    </w:p>
    <w:p>
      <w:pPr>
        <w:pStyle w:val="Heading2"/>
      </w:pPr>
      <w:r>
        <w:t>5.6 安全管理</w:t>
      </w:r>
    </w:p>
    <w:p>
      <w:pPr>
        <w:pStyle w:val="ListBullet"/>
      </w:pPr>
      <w:r>
        <w:t>仓库重地，闲人免进</w:t>
      </w:r>
    </w:p>
    <w:p>
      <w:pPr>
        <w:pStyle w:val="ListBullet"/>
      </w:pPr>
      <w:r>
        <w:t>防火设施完好</w:t>
      </w:r>
    </w:p>
    <w:p>
      <w:pPr>
        <w:pStyle w:val="ListBullet"/>
      </w:pPr>
      <w:r>
        <w:t>定期安全检查</w:t>
      </w:r>
    </w:p>
    <w:p/>
    <w:p>
      <w:pPr>
        <w:pStyle w:val="Heading1"/>
      </w:pPr>
      <w:r>
        <w:t>6. 相关文件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文件编号</w:t>
            </w:r>
          </w:p>
        </w:tc>
        <w:tc>
          <w:tcPr>
            <w:tcW w:type="dxa" w:w="4153"/>
          </w:tcPr>
          <w:p>
            <w:r>
              <w:t>文件名称</w:t>
            </w:r>
          </w:p>
        </w:tc>
      </w:tr>
      <w:tr>
        <w:tc>
          <w:tcPr>
            <w:tcW w:type="dxa" w:w="4153"/>
          </w:tcPr>
          <w:p>
            <w:r>
              <w:t>QP-001</w:t>
            </w:r>
          </w:p>
        </w:tc>
        <w:tc>
          <w:tcPr>
            <w:tcW w:type="dxa" w:w="4153"/>
          </w:tcPr>
          <w:p>
            <w:r>
              <w:t>文件控制程序</w:t>
            </w:r>
          </w:p>
        </w:tc>
      </w:tr>
      <w:tr>
        <w:tc>
          <w:tcPr>
            <w:tcW w:type="dxa" w:w="4153"/>
          </w:tcPr>
          <w:p>
            <w:r>
              <w:t>QP-007</w:t>
            </w:r>
          </w:p>
        </w:tc>
        <w:tc>
          <w:tcPr>
            <w:tcW w:type="dxa" w:w="4153"/>
          </w:tcPr>
          <w:p>
            <w:r>
              <w:t>采购控制程序</w:t>
            </w:r>
          </w:p>
        </w:tc>
      </w:tr>
    </w:tbl>
    <w:p/>
    <w:p>
      <w:pPr>
        <w:pStyle w:val="Heading1"/>
      </w:pPr>
      <w:r>
        <w:t>7. 相关记录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记录编号</w:t>
            </w:r>
          </w:p>
        </w:tc>
        <w:tc>
          <w:tcPr>
            <w:tcW w:type="dxa" w:w="2769"/>
          </w:tcPr>
          <w:p>
            <w:r>
              <w:t>记录名称</w:t>
            </w:r>
          </w:p>
        </w:tc>
        <w:tc>
          <w:tcPr>
            <w:tcW w:type="dxa" w:w="2769"/>
          </w:tcPr>
          <w:p>
            <w:r>
              <w:t>保存期限</w:t>
            </w:r>
          </w:p>
        </w:tc>
      </w:tr>
      <w:tr>
        <w:tc>
          <w:tcPr>
            <w:tcW w:type="dxa" w:w="2769"/>
          </w:tcPr>
          <w:p>
            <w:r>
              <w:t>FM-060</w:t>
            </w:r>
          </w:p>
        </w:tc>
        <w:tc>
          <w:tcPr>
            <w:tcW w:type="dxa" w:w="2769"/>
          </w:tcPr>
          <w:p>
            <w:r>
              <w:t>入库单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FM-061</w:t>
            </w:r>
          </w:p>
        </w:tc>
        <w:tc>
          <w:tcPr>
            <w:tcW w:type="dxa" w:w="2769"/>
          </w:tcPr>
          <w:p>
            <w:r>
              <w:t>出库单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FM-062</w:t>
            </w:r>
          </w:p>
        </w:tc>
        <w:tc>
          <w:tcPr>
            <w:tcW w:type="dxa" w:w="2769"/>
          </w:tcPr>
          <w:p>
            <w:r>
              <w:t>库存盘点表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FM-063</w:t>
            </w:r>
          </w:p>
        </w:tc>
        <w:tc>
          <w:tcPr>
            <w:tcW w:type="dxa" w:w="2769"/>
          </w:tcPr>
          <w:p>
            <w:r>
              <w:t>库存台账</w:t>
            </w:r>
          </w:p>
        </w:tc>
        <w:tc>
          <w:tcPr>
            <w:tcW w:type="dxa" w:w="2769"/>
          </w:tcPr>
          <w:p>
            <w:r>
              <w:t>长期</w:t>
            </w:r>
          </w:p>
        </w:tc>
      </w:tr>
    </w:tbl>
    <w:p/>
    <w:p>
      <w:pPr>
        <w:pStyle w:val="Heading1"/>
      </w:pPr>
      <w:r>
        <w:t>8. 附录</w:t>
      </w:r>
    </w:p>
    <w:p>
      <w:pPr>
        <w:pStyle w:val="Heading2"/>
      </w:pPr>
      <w:r>
        <w:t>附录 A：仓储管理流程图</w:t>
      </w:r>
    </w:p>
    <w:p>
      <w:r>
        <w:t>入库验收 → 分类存放 → 标识管理 → 出库发料 → 定期盘点 → 账物核对</w:t>
      </w:r>
    </w:p>
    <w:p>
      <w:pPr>
        <w:pStyle w:val="Heading2"/>
      </w:pPr>
      <w:r>
        <w:t>附录 B：仓库区域划分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区域</w:t>
            </w:r>
          </w:p>
        </w:tc>
        <w:tc>
          <w:tcPr>
            <w:tcW w:type="dxa" w:w="4153"/>
          </w:tcPr>
          <w:p>
            <w:r>
              <w:t>用途</w:t>
            </w:r>
          </w:p>
        </w:tc>
      </w:tr>
      <w:tr>
        <w:tc>
          <w:tcPr>
            <w:tcW w:type="dxa" w:w="4153"/>
          </w:tcPr>
          <w:p>
            <w:r>
              <w:t>原材料区</w:t>
            </w:r>
          </w:p>
        </w:tc>
        <w:tc>
          <w:tcPr>
            <w:tcW w:type="dxa" w:w="4153"/>
          </w:tcPr>
          <w:p>
            <w:r>
              <w:t>存放采购原材料</w:t>
            </w:r>
          </w:p>
        </w:tc>
      </w:tr>
      <w:tr>
        <w:tc>
          <w:tcPr>
            <w:tcW w:type="dxa" w:w="4153"/>
          </w:tcPr>
          <w:p>
            <w:r>
              <w:t>半成品区</w:t>
            </w:r>
          </w:p>
        </w:tc>
        <w:tc>
          <w:tcPr>
            <w:tcW w:type="dxa" w:w="4153"/>
          </w:tcPr>
          <w:p>
            <w:r>
              <w:t>存放过程产品</w:t>
            </w:r>
          </w:p>
        </w:tc>
      </w:tr>
      <w:tr>
        <w:tc>
          <w:tcPr>
            <w:tcW w:type="dxa" w:w="4153"/>
          </w:tcPr>
          <w:p>
            <w:r>
              <w:t>成品区</w:t>
            </w:r>
          </w:p>
        </w:tc>
        <w:tc>
          <w:tcPr>
            <w:tcW w:type="dxa" w:w="4153"/>
          </w:tcPr>
          <w:p>
            <w:r>
              <w:t>存放最终产品</w:t>
            </w:r>
          </w:p>
        </w:tc>
      </w:tr>
      <w:tr>
        <w:tc>
          <w:tcPr>
            <w:tcW w:type="dxa" w:w="4153"/>
          </w:tcPr>
          <w:p>
            <w:r>
              <w:t>不合格品区</w:t>
            </w:r>
          </w:p>
        </w:tc>
        <w:tc>
          <w:tcPr>
            <w:tcW w:type="dxa" w:w="4153"/>
          </w:tcPr>
          <w:p>
            <w:r>
              <w:t>隔离不合格品</w:t>
            </w:r>
          </w:p>
        </w:tc>
      </w:tr>
      <w:tr>
        <w:tc>
          <w:tcPr>
            <w:tcW w:type="dxa" w:w="4153"/>
          </w:tcPr>
          <w:p>
            <w:r>
              <w:t>待检区</w:t>
            </w:r>
          </w:p>
        </w:tc>
        <w:tc>
          <w:tcPr>
            <w:tcW w:type="dxa" w:w="4153"/>
          </w:tcPr>
          <w:p>
            <w:r>
              <w:t>待检验物资</w:t>
            </w:r>
          </w:p>
        </w:tc>
      </w:tr>
    </w:tbl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